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n Giovanni Teatin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Chiet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